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E" w:rsidRDefault="00F23D35">
      <w:pPr>
        <w:pStyle w:val="cmjNASLOV"/>
      </w:pPr>
      <w:r>
        <w:t>Preduvjetovanje</w:t>
      </w:r>
      <w:r>
        <w:t xml:space="preserve"> hiperbaričnim kisikom ublažava ošteć</w:t>
      </w:r>
      <w:bookmarkStart w:id="0" w:name="_GoBack"/>
      <w:bookmarkEnd w:id="0"/>
      <w:r>
        <w:t xml:space="preserve">enje krvno-moždane barijere uzrokovano hipoksijom tako što modulira protein </w:t>
      </w:r>
      <w:r>
        <w:t>čvrstog</w:t>
      </w:r>
      <w:r>
        <w:t xml:space="preserve"> spoja u </w:t>
      </w:r>
      <w:r>
        <w:rPr>
          <w:i/>
        </w:rPr>
        <w:t>in vitro</w:t>
      </w:r>
      <w:r>
        <w:t xml:space="preserve"> modelu</w:t>
      </w:r>
    </w:p>
    <w:p w:rsidR="000A1FCE" w:rsidRDefault="000A1FCE">
      <w:pPr>
        <w:rPr>
          <w:sz w:val="24"/>
          <w:lang w:val="hr-HR"/>
        </w:rPr>
      </w:pPr>
    </w:p>
    <w:p w:rsidR="000A1FCE" w:rsidRPr="007B32CD" w:rsidRDefault="00F23D35">
      <w:pPr>
        <w:pStyle w:val="cmjTEXT"/>
        <w:rPr>
          <w:lang w:val="hr-HR"/>
        </w:rPr>
      </w:pPr>
      <w:r>
        <w:rPr>
          <w:b/>
          <w:lang w:val="hr-HR"/>
        </w:rPr>
        <w:t xml:space="preserve">Cilj </w:t>
      </w:r>
      <w:r>
        <w:rPr>
          <w:lang w:val="hr-HR"/>
        </w:rPr>
        <w:t xml:space="preserve">Istražiti utjecaj </w:t>
      </w:r>
      <w:proofErr w:type="spellStart"/>
      <w:r>
        <w:rPr>
          <w:lang w:val="hr-HR"/>
        </w:rPr>
        <w:t>preduvjetovanja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hiperbaričnim</w:t>
      </w:r>
      <w:proofErr w:type="spellEnd"/>
      <w:r>
        <w:rPr>
          <w:lang w:val="hr-HR"/>
        </w:rPr>
        <w:t xml:space="preserve"> kisikom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(prema </w:t>
      </w:r>
      <w:proofErr w:type="spellStart"/>
      <w:r>
        <w:rPr>
          <w:lang w:val="hr-HR"/>
        </w:rPr>
        <w:t>eng</w:t>
      </w:r>
      <w:r>
        <w:rPr>
          <w:lang w:val="hr-HR"/>
        </w:rPr>
        <w:t>l</w:t>
      </w:r>
      <w:proofErr w:type="spellEnd"/>
      <w:r>
        <w:rPr>
          <w:lang w:val="hr-HR"/>
        </w:rPr>
        <w:t>.</w:t>
      </w:r>
      <w:r>
        <w:rPr>
          <w:lang w:val="hr-HR"/>
        </w:rPr>
        <w:t xml:space="preserve"> </w:t>
      </w:r>
      <w:proofErr w:type="spellStart"/>
      <w:r w:rsidR="000A1FCE" w:rsidRPr="000A1FCE">
        <w:rPr>
          <w:i/>
          <w:iCs/>
          <w:lang w:val="hr-HR"/>
        </w:rPr>
        <w:t>hyperbaric</w:t>
      </w:r>
      <w:proofErr w:type="spellEnd"/>
      <w:r w:rsidR="000A1FCE" w:rsidRPr="000A1FCE">
        <w:rPr>
          <w:i/>
          <w:iCs/>
          <w:lang w:val="hr-HR"/>
        </w:rPr>
        <w:t xml:space="preserve"> </w:t>
      </w:r>
      <w:proofErr w:type="spellStart"/>
      <w:r w:rsidR="000A1FCE" w:rsidRPr="000A1FCE">
        <w:rPr>
          <w:i/>
          <w:iCs/>
          <w:lang w:val="hr-HR"/>
        </w:rPr>
        <w:t>oxygen</w:t>
      </w:r>
      <w:proofErr w:type="spellEnd"/>
      <w:r w:rsidR="000A1FCE" w:rsidRPr="000A1FCE">
        <w:rPr>
          <w:i/>
          <w:iCs/>
          <w:lang w:val="hr-HR"/>
        </w:rPr>
        <w:t xml:space="preserve"> </w:t>
      </w:r>
      <w:proofErr w:type="spellStart"/>
      <w:r w:rsidR="000A1FCE" w:rsidRPr="000A1FCE">
        <w:rPr>
          <w:i/>
          <w:iCs/>
          <w:lang w:val="hr-HR"/>
        </w:rPr>
        <w:t>preconditioning</w:t>
      </w:r>
      <w:proofErr w:type="spellEnd"/>
      <w:r>
        <w:rPr>
          <w:lang w:val="hr-HR"/>
        </w:rPr>
        <w:t>, HBOP) na propusnost krvno-moždane barijere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i </w:t>
      </w:r>
      <w:r>
        <w:rPr>
          <w:lang w:val="hr-HR"/>
        </w:rPr>
        <w:t>izražaj</w:t>
      </w:r>
      <w:r>
        <w:rPr>
          <w:lang w:val="hr-HR"/>
        </w:rPr>
        <w:t xml:space="preserve"> proteina </w:t>
      </w:r>
      <w:r>
        <w:rPr>
          <w:lang w:val="hr-HR"/>
        </w:rPr>
        <w:t>čvrstog</w:t>
      </w:r>
      <w:r>
        <w:rPr>
          <w:lang w:val="hr-HR"/>
        </w:rPr>
        <w:t xml:space="preserve"> spoja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(prema </w:t>
      </w:r>
      <w:proofErr w:type="spellStart"/>
      <w:r>
        <w:rPr>
          <w:lang w:val="hr-HR"/>
        </w:rPr>
        <w:t>eng</w:t>
      </w:r>
      <w:r>
        <w:rPr>
          <w:lang w:val="hr-HR"/>
        </w:rPr>
        <w:t>l</w:t>
      </w:r>
      <w:proofErr w:type="spellEnd"/>
      <w:r>
        <w:rPr>
          <w:lang w:val="hr-HR"/>
        </w:rPr>
        <w:t>.</w:t>
      </w:r>
      <w:r>
        <w:rPr>
          <w:lang w:val="hr-HR"/>
        </w:rPr>
        <w:t xml:space="preserve"> </w:t>
      </w:r>
      <w:proofErr w:type="spellStart"/>
      <w:r w:rsidR="000A1FCE" w:rsidRPr="000A1FCE">
        <w:rPr>
          <w:i/>
          <w:iCs/>
          <w:lang w:val="hr-HR"/>
        </w:rPr>
        <w:t>tight</w:t>
      </w:r>
      <w:proofErr w:type="spellEnd"/>
      <w:r w:rsidR="000A1FCE" w:rsidRPr="000A1FCE">
        <w:rPr>
          <w:i/>
          <w:iCs/>
          <w:lang w:val="hr-HR"/>
        </w:rPr>
        <w:t xml:space="preserve"> </w:t>
      </w:r>
      <w:proofErr w:type="spellStart"/>
      <w:r w:rsidR="000A1FCE" w:rsidRPr="000A1FCE">
        <w:rPr>
          <w:i/>
          <w:iCs/>
          <w:lang w:val="hr-HR"/>
        </w:rPr>
        <w:t>junction</w:t>
      </w:r>
      <w:proofErr w:type="spellEnd"/>
      <w:r w:rsidR="000A1FCE" w:rsidRPr="000A1FCE">
        <w:rPr>
          <w:i/>
          <w:iCs/>
          <w:lang w:val="hr-HR"/>
        </w:rPr>
        <w:t xml:space="preserve"> </w:t>
      </w:r>
      <w:proofErr w:type="spellStart"/>
      <w:r w:rsidR="000A1FCE" w:rsidRPr="000A1FCE">
        <w:rPr>
          <w:i/>
          <w:iCs/>
          <w:lang w:val="hr-HR"/>
        </w:rPr>
        <w:t>proteins</w:t>
      </w:r>
      <w:proofErr w:type="spellEnd"/>
      <w:r>
        <w:rPr>
          <w:lang w:val="hr-HR"/>
        </w:rPr>
        <w:t xml:space="preserve">, TJP) u </w:t>
      </w:r>
      <w:proofErr w:type="spellStart"/>
      <w:r>
        <w:rPr>
          <w:lang w:val="hr-HR"/>
        </w:rPr>
        <w:t>hipoksičnim</w:t>
      </w:r>
      <w:proofErr w:type="spellEnd"/>
      <w:r>
        <w:rPr>
          <w:lang w:val="hr-HR"/>
        </w:rPr>
        <w:t xml:space="preserve"> uvjetima</w:t>
      </w:r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in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vitro</w:t>
      </w:r>
      <w:proofErr w:type="spellEnd"/>
      <w:r>
        <w:rPr>
          <w:lang w:val="hr-HR"/>
        </w:rPr>
        <w:t xml:space="preserve">. </w:t>
      </w:r>
    </w:p>
    <w:p w:rsidR="000A1FCE" w:rsidRDefault="00F23D35">
      <w:pPr>
        <w:pStyle w:val="cmjTEXT"/>
      </w:pPr>
      <w:r>
        <w:rPr>
          <w:b/>
          <w:lang w:val="hr-HR"/>
        </w:rPr>
        <w:t xml:space="preserve">Postupci </w:t>
      </w:r>
      <w:r>
        <w:rPr>
          <w:lang w:val="hr-HR"/>
        </w:rPr>
        <w:t>Us</w:t>
      </w:r>
      <w:r>
        <w:rPr>
          <w:lang w:val="hr-HR"/>
        </w:rPr>
        <w:t>postavili</w:t>
      </w:r>
      <w:r>
        <w:rPr>
          <w:lang w:val="hr-HR"/>
        </w:rPr>
        <w:t xml:space="preserve"> smo</w:t>
      </w:r>
      <w:r>
        <w:rPr>
          <w:b/>
          <w:lang w:val="hr-HR"/>
        </w:rPr>
        <w:t xml:space="preserve"> </w:t>
      </w:r>
      <w:proofErr w:type="spellStart"/>
      <w:r>
        <w:rPr>
          <w:i/>
          <w:lang w:val="hr-HR"/>
        </w:rPr>
        <w:t>in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vitro</w:t>
      </w:r>
      <w:proofErr w:type="spellEnd"/>
      <w:r>
        <w:rPr>
          <w:i/>
          <w:lang w:val="hr-HR"/>
        </w:rPr>
        <w:t xml:space="preserve"> </w:t>
      </w:r>
      <w:r>
        <w:rPr>
          <w:lang w:val="hr-HR"/>
        </w:rPr>
        <w:t>model k</w:t>
      </w:r>
      <w:r>
        <w:rPr>
          <w:lang w:val="hr-HR"/>
        </w:rPr>
        <w:t>rvno-moždane barijere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uz pomoć </w:t>
      </w:r>
      <w:proofErr w:type="spellStart"/>
      <w:r>
        <w:rPr>
          <w:lang w:val="hr-HR"/>
        </w:rPr>
        <w:t>hCMEC</w:t>
      </w:r>
      <w:proofErr w:type="spellEnd"/>
      <w:r>
        <w:rPr>
          <w:lang w:val="hr-HR"/>
        </w:rPr>
        <w:t>/D3 stanične linije i koristili ga</w:t>
      </w:r>
      <w:r>
        <w:rPr>
          <w:lang w:val="hr-HR"/>
        </w:rPr>
        <w:t xml:space="preserve"> u trenutku</w:t>
      </w:r>
      <w:r>
        <w:rPr>
          <w:lang w:val="hr-HR"/>
        </w:rPr>
        <w:t xml:space="preserve"> kad je njegov trans-</w:t>
      </w:r>
      <w:proofErr w:type="spellStart"/>
      <w:r>
        <w:rPr>
          <w:lang w:val="hr-HR"/>
        </w:rPr>
        <w:t>endotelijalni</w:t>
      </w:r>
      <w:proofErr w:type="spellEnd"/>
      <w:r>
        <w:rPr>
          <w:lang w:val="hr-HR"/>
        </w:rPr>
        <w:t xml:space="preserve"> električni otpor (prema </w:t>
      </w:r>
      <w:proofErr w:type="spellStart"/>
      <w:r>
        <w:rPr>
          <w:lang w:val="hr-HR"/>
        </w:rPr>
        <w:t>eng</w:t>
      </w:r>
      <w:r>
        <w:rPr>
          <w:lang w:val="hr-HR"/>
        </w:rPr>
        <w:t>l</w:t>
      </w:r>
      <w:proofErr w:type="spellEnd"/>
      <w:r>
        <w:rPr>
          <w:lang w:val="hr-HR"/>
        </w:rPr>
        <w:t>.</w:t>
      </w:r>
      <w:r>
        <w:rPr>
          <w:lang w:val="hr-HR"/>
        </w:rPr>
        <w:t xml:space="preserve"> </w:t>
      </w:r>
      <w:r w:rsidR="000A1FCE" w:rsidRPr="000A1FCE">
        <w:rPr>
          <w:i/>
          <w:iCs/>
          <w:lang w:val="hr-HR"/>
        </w:rPr>
        <w:t>trans-</w:t>
      </w:r>
      <w:proofErr w:type="spellStart"/>
      <w:r w:rsidR="000A1FCE" w:rsidRPr="000A1FCE">
        <w:rPr>
          <w:i/>
          <w:iCs/>
          <w:lang w:val="hr-HR"/>
        </w:rPr>
        <w:t>endothelial</w:t>
      </w:r>
      <w:proofErr w:type="spellEnd"/>
      <w:r w:rsidR="000A1FCE" w:rsidRPr="000A1FCE">
        <w:rPr>
          <w:i/>
          <w:iCs/>
          <w:lang w:val="hr-HR"/>
        </w:rPr>
        <w:t xml:space="preserve"> </w:t>
      </w:r>
      <w:proofErr w:type="spellStart"/>
      <w:r w:rsidR="000A1FCE" w:rsidRPr="000A1FCE">
        <w:rPr>
          <w:i/>
          <w:iCs/>
          <w:lang w:val="hr-HR"/>
        </w:rPr>
        <w:t>electrical</w:t>
      </w:r>
      <w:proofErr w:type="spellEnd"/>
      <w:r w:rsidR="000A1FCE" w:rsidRPr="000A1FCE">
        <w:rPr>
          <w:i/>
          <w:iCs/>
          <w:lang w:val="hr-HR"/>
        </w:rPr>
        <w:t xml:space="preserve"> </w:t>
      </w:r>
      <w:proofErr w:type="spellStart"/>
      <w:r w:rsidR="000A1FCE" w:rsidRPr="000A1FCE">
        <w:rPr>
          <w:i/>
          <w:iCs/>
          <w:lang w:val="hr-HR"/>
        </w:rPr>
        <w:t>resistance</w:t>
      </w:r>
      <w:proofErr w:type="spellEnd"/>
      <w:r>
        <w:rPr>
          <w:lang w:val="hr-HR"/>
        </w:rPr>
        <w:t>, TEER) dosegao 80-120</w:t>
      </w:r>
      <w:r>
        <w:rPr>
          <w:rFonts w:ascii="SimSun" w:hAnsi="SimSun"/>
          <w:lang w:val="hr-HR"/>
        </w:rPr>
        <w:t xml:space="preserve"> </w:t>
      </w:r>
      <w:r>
        <w:rPr>
          <w:lang w:val="hr-HR"/>
        </w:rPr>
        <w:t>Ω</w:t>
      </w:r>
      <w:r>
        <w:rPr>
          <w:rFonts w:ascii="SimSun" w:hAnsi="SimSun" w:cs="SimSun"/>
          <w:lang w:val="hr-HR"/>
        </w:rPr>
        <w:t>·</w:t>
      </w:r>
      <w:r>
        <w:rPr>
          <w:lang w:val="hr-HR"/>
        </w:rPr>
        <w:t>cm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(testirano uz pomoć sustava </w:t>
      </w:r>
      <w:proofErr w:type="spellStart"/>
      <w:r>
        <w:rPr>
          <w:lang w:val="hr-HR"/>
        </w:rPr>
        <w:t>Millicell</w:t>
      </w:r>
      <w:proofErr w:type="spellEnd"/>
      <w:r>
        <w:rPr>
          <w:lang w:val="hr-HR"/>
        </w:rPr>
        <w:t>-</w:t>
      </w:r>
      <w:proofErr w:type="spellStart"/>
      <w:r>
        <w:rPr>
          <w:lang w:val="hr-HR"/>
        </w:rPr>
        <w:t>Electrical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Resistance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System</w:t>
      </w:r>
      <w:proofErr w:type="spellEnd"/>
      <w:r>
        <w:rPr>
          <w:lang w:val="hr-HR"/>
        </w:rPr>
        <w:t xml:space="preserve">). Stanice su nasumično raspoređene u kontrolnu skupinu uzgojenu u normalnim uvjetima, skupinu izloženu </w:t>
      </w:r>
      <w:proofErr w:type="spellStart"/>
      <w:r>
        <w:rPr>
          <w:lang w:val="hr-HR"/>
        </w:rPr>
        <w:t>hipoksičnim</w:t>
      </w:r>
      <w:proofErr w:type="spellEnd"/>
      <w:r>
        <w:rPr>
          <w:lang w:val="hr-HR"/>
        </w:rPr>
        <w:t xml:space="preserve"> uvjetima (2%O</w:t>
      </w:r>
      <w:r>
        <w:rPr>
          <w:vertAlign w:val="subscript"/>
          <w:lang w:val="hr-HR"/>
        </w:rPr>
        <w:t>2</w:t>
      </w:r>
      <w:r>
        <w:rPr>
          <w:lang w:val="hr-HR"/>
        </w:rPr>
        <w:t>) 24 h (</w:t>
      </w:r>
      <w:proofErr w:type="spellStart"/>
      <w:r>
        <w:rPr>
          <w:lang w:val="hr-HR"/>
        </w:rPr>
        <w:t>hipoksijska</w:t>
      </w:r>
      <w:proofErr w:type="spellEnd"/>
      <w:r>
        <w:rPr>
          <w:lang w:val="hr-HR"/>
        </w:rPr>
        <w:t xml:space="preserve"> skupina)</w:t>
      </w:r>
      <w:r>
        <w:rPr>
          <w:lang w:val="hr-HR"/>
        </w:rPr>
        <w:t xml:space="preserve"> te skupinu koja je najprije i</w:t>
      </w:r>
      <w:r>
        <w:rPr>
          <w:lang w:val="hr-HR"/>
        </w:rPr>
        <w:t xml:space="preserve">zložena HBOP u trajanju od 2 sata, a zatim </w:t>
      </w:r>
      <w:proofErr w:type="spellStart"/>
      <w:r>
        <w:rPr>
          <w:lang w:val="hr-HR"/>
        </w:rPr>
        <w:t>hipoksiji</w:t>
      </w:r>
      <w:proofErr w:type="spellEnd"/>
      <w:r>
        <w:rPr>
          <w:lang w:val="hr-HR"/>
        </w:rPr>
        <w:t xml:space="preserve"> (HBOP skupina). Ekspresiju </w:t>
      </w:r>
      <w:proofErr w:type="spellStart"/>
      <w:r>
        <w:rPr>
          <w:lang w:val="hr-HR"/>
        </w:rPr>
        <w:t>okludina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okludentne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zonule</w:t>
      </w:r>
      <w:proofErr w:type="spellEnd"/>
      <w:r>
        <w:rPr>
          <w:lang w:val="hr-HR"/>
        </w:rPr>
        <w:t xml:space="preserve"> -1 analizirali smo </w:t>
      </w:r>
      <w:proofErr w:type="spellStart"/>
      <w:r>
        <w:rPr>
          <w:lang w:val="hr-HR"/>
        </w:rPr>
        <w:t>imunofluorescencijom</w:t>
      </w:r>
      <w:proofErr w:type="spellEnd"/>
      <w:r>
        <w:rPr>
          <w:lang w:val="hr-HR"/>
        </w:rPr>
        <w:t>.</w:t>
      </w:r>
    </w:p>
    <w:p w:rsidR="000A1FCE" w:rsidRPr="007B32CD" w:rsidRDefault="00F23D35">
      <w:pPr>
        <w:pStyle w:val="cmjTEXT"/>
        <w:rPr>
          <w:lang w:val="hr-HR"/>
        </w:rPr>
      </w:pPr>
      <w:r>
        <w:rPr>
          <w:b/>
          <w:lang w:val="hr-HR"/>
        </w:rPr>
        <w:t>Rezultati</w:t>
      </w:r>
      <w:r>
        <w:rPr>
          <w:lang w:val="hr-HR"/>
        </w:rPr>
        <w:t xml:space="preserve"> Normalna </w:t>
      </w:r>
      <w:proofErr w:type="spellStart"/>
      <w:r>
        <w:rPr>
          <w:lang w:val="hr-HR"/>
        </w:rPr>
        <w:t>hCMEC</w:t>
      </w:r>
      <w:proofErr w:type="spellEnd"/>
      <w:r>
        <w:rPr>
          <w:lang w:val="hr-HR"/>
        </w:rPr>
        <w:t>/D3 imala je oblik vretena i bila je čvrsto integrirana. TEER je bio značajno sniž</w:t>
      </w:r>
      <w:r>
        <w:rPr>
          <w:lang w:val="hr-HR"/>
        </w:rPr>
        <w:t>en u hipoksijskoj (</w:t>
      </w:r>
      <w:r>
        <w:rPr>
          <w:i/>
          <w:lang w:val="hr-HR"/>
        </w:rPr>
        <w:t>P</w:t>
      </w:r>
      <w:r>
        <w:rPr>
          <w:lang w:val="hr-HR"/>
        </w:rPr>
        <w:t>=0,001) i HBOP skupini (</w:t>
      </w:r>
      <w:r>
        <w:rPr>
          <w:i/>
          <w:lang w:val="hr-HR"/>
        </w:rPr>
        <w:t>P</w:t>
      </w:r>
      <w:r>
        <w:rPr>
          <w:lang w:val="hr-HR"/>
        </w:rPr>
        <w:t>=0,014) u usporedbi s kontrolnom skupinom, s izraženijim smanjenjem u hipoksijskoj skupini. Membransk</w:t>
      </w:r>
      <w:r>
        <w:rPr>
          <w:lang w:val="hr-HR"/>
        </w:rPr>
        <w:t>i izra</w:t>
      </w:r>
      <w:r>
        <w:rPr>
          <w:lang w:val="hr-HR"/>
        </w:rPr>
        <w:t>žaj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okludina</w:t>
      </w:r>
      <w:proofErr w:type="spellEnd"/>
      <w:r>
        <w:rPr>
          <w:lang w:val="hr-HR"/>
        </w:rPr>
        <w:t xml:space="preserve"> bi</w:t>
      </w:r>
      <w:r>
        <w:rPr>
          <w:lang w:val="hr-HR"/>
        </w:rPr>
        <w:t>o</w:t>
      </w:r>
      <w:r>
        <w:rPr>
          <w:lang w:val="hr-HR"/>
        </w:rPr>
        <w:t xml:space="preserve"> je značajno smanjen</w:t>
      </w:r>
      <w:r>
        <w:rPr>
          <w:lang w:val="hr-HR"/>
        </w:rPr>
        <w:t xml:space="preserve"> u hipoksijskoj skupini u usporedbi s kontrolnom skup</w:t>
      </w:r>
      <w:r>
        <w:rPr>
          <w:lang w:val="hr-HR"/>
        </w:rPr>
        <w:t>inom (</w:t>
      </w:r>
      <w:r>
        <w:rPr>
          <w:i/>
          <w:lang w:val="hr-HR"/>
        </w:rPr>
        <w:t>P</w:t>
      </w:r>
      <w:r>
        <w:rPr>
          <w:lang w:val="hr-HR"/>
        </w:rPr>
        <w:t>=0,001), dok u HBOP skupini nije došlo do promjene. Membransk</w:t>
      </w:r>
      <w:r>
        <w:rPr>
          <w:lang w:val="hr-HR"/>
        </w:rPr>
        <w:t>i izražaj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okludentne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zonule</w:t>
      </w:r>
      <w:proofErr w:type="spellEnd"/>
      <w:r>
        <w:rPr>
          <w:lang w:val="hr-HR"/>
        </w:rPr>
        <w:t xml:space="preserve"> -1 </w:t>
      </w:r>
      <w:r w:rsidR="00244270">
        <w:rPr>
          <w:lang w:val="hr-HR"/>
        </w:rPr>
        <w:t xml:space="preserve">u hipoksijskoj skupini </w:t>
      </w:r>
      <w:r>
        <w:rPr>
          <w:lang w:val="hr-HR"/>
        </w:rPr>
        <w:t>bi</w:t>
      </w:r>
      <w:r>
        <w:rPr>
          <w:lang w:val="hr-HR"/>
        </w:rPr>
        <w:t>o</w:t>
      </w:r>
      <w:r>
        <w:rPr>
          <w:lang w:val="hr-HR"/>
        </w:rPr>
        <w:t xml:space="preserve"> je značajno snižen</w:t>
      </w:r>
      <w:r>
        <w:rPr>
          <w:lang w:val="hr-HR"/>
        </w:rPr>
        <w:t xml:space="preserve"> (</w:t>
      </w:r>
      <w:r>
        <w:rPr>
          <w:i/>
          <w:lang w:val="hr-HR"/>
        </w:rPr>
        <w:t>P</w:t>
      </w:r>
      <w:r>
        <w:rPr>
          <w:lang w:val="hr-HR"/>
        </w:rPr>
        <w:t xml:space="preserve">=0,002) </w:t>
      </w:r>
      <w:r>
        <w:rPr>
          <w:lang w:val="hr-HR"/>
        </w:rPr>
        <w:t>dok je njen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citoplazmatsk</w:t>
      </w:r>
      <w:r>
        <w:rPr>
          <w:lang w:val="hr-HR"/>
        </w:rPr>
        <w:t>i</w:t>
      </w:r>
      <w:proofErr w:type="spellEnd"/>
      <w:r>
        <w:rPr>
          <w:lang w:val="hr-HR"/>
        </w:rPr>
        <w:t xml:space="preserve"> </w:t>
      </w:r>
      <w:r>
        <w:rPr>
          <w:lang w:val="hr-HR"/>
        </w:rPr>
        <w:t>izraža</w:t>
      </w:r>
      <w:r>
        <w:rPr>
          <w:lang w:val="hr-HR"/>
        </w:rPr>
        <w:t>j</w:t>
      </w:r>
      <w:r>
        <w:rPr>
          <w:lang w:val="hr-HR"/>
        </w:rPr>
        <w:t xml:space="preserve"> bi</w:t>
      </w:r>
      <w:r>
        <w:rPr>
          <w:lang w:val="hr-HR"/>
        </w:rPr>
        <w:t>o</w:t>
      </w:r>
      <w:r>
        <w:rPr>
          <w:lang w:val="hr-HR"/>
        </w:rPr>
        <w:t xml:space="preserve"> značajno povišen</w:t>
      </w:r>
      <w:r>
        <w:rPr>
          <w:lang w:val="hr-HR"/>
        </w:rPr>
        <w:t xml:space="preserve"> </w:t>
      </w:r>
      <w:r>
        <w:rPr>
          <w:lang w:val="hr-HR"/>
        </w:rPr>
        <w:t>u usporedbi s k</w:t>
      </w:r>
      <w:r>
        <w:rPr>
          <w:lang w:val="hr-HR"/>
        </w:rPr>
        <w:t>ontrolnom skupinom (</w:t>
      </w:r>
      <w:r>
        <w:rPr>
          <w:i/>
          <w:lang w:val="hr-HR"/>
        </w:rPr>
        <w:t>P</w:t>
      </w:r>
      <w:r>
        <w:rPr>
          <w:lang w:val="hr-HR"/>
        </w:rPr>
        <w:t xml:space="preserve">=0,001), iako se ukupne razine </w:t>
      </w:r>
      <w:r>
        <w:rPr>
          <w:lang w:val="hr-HR"/>
        </w:rPr>
        <w:t>izražaja</w:t>
      </w:r>
      <w:r>
        <w:rPr>
          <w:lang w:val="hr-HR"/>
        </w:rPr>
        <w:t xml:space="preserve"> nisu promijenile. U HBOP skupini nije bilo značajne promjene u </w:t>
      </w:r>
      <w:r>
        <w:rPr>
          <w:lang w:val="hr-HR"/>
        </w:rPr>
        <w:t>izražaju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okludentne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zonule</w:t>
      </w:r>
      <w:proofErr w:type="spellEnd"/>
      <w:r>
        <w:rPr>
          <w:lang w:val="hr-HR"/>
        </w:rPr>
        <w:t xml:space="preserve"> -1 u usporedbi s kontrolnom skupinom.</w:t>
      </w:r>
    </w:p>
    <w:p w:rsidR="000A1FCE" w:rsidRDefault="00F23D35">
      <w:pPr>
        <w:pStyle w:val="cmjTEXT"/>
        <w:rPr>
          <w:lang w:val="hr-HR"/>
        </w:rPr>
      </w:pPr>
      <w:r>
        <w:rPr>
          <w:b/>
          <w:lang w:val="hr-HR"/>
        </w:rPr>
        <w:t xml:space="preserve">Zaključak </w:t>
      </w:r>
      <w:proofErr w:type="spellStart"/>
      <w:r>
        <w:rPr>
          <w:lang w:val="hr-HR"/>
        </w:rPr>
        <w:t>Preduvjetovanje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hiperbaričnim</w:t>
      </w:r>
      <w:proofErr w:type="spellEnd"/>
      <w:r>
        <w:rPr>
          <w:lang w:val="hr-HR"/>
        </w:rPr>
        <w:t xml:space="preserve"> kisikom</w:t>
      </w:r>
      <w:r>
        <w:rPr>
          <w:lang w:val="hr-HR"/>
        </w:rPr>
        <w:t xml:space="preserve"> očuvalo je integritet krvno-moždane barijere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u </w:t>
      </w:r>
      <w:proofErr w:type="spellStart"/>
      <w:r>
        <w:rPr>
          <w:i/>
          <w:lang w:val="hr-HR"/>
        </w:rPr>
        <w:t>in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vitro</w:t>
      </w:r>
      <w:proofErr w:type="spellEnd"/>
      <w:r>
        <w:rPr>
          <w:i/>
          <w:lang w:val="hr-HR"/>
        </w:rPr>
        <w:t xml:space="preserve"> </w:t>
      </w:r>
      <w:r>
        <w:rPr>
          <w:lang w:val="hr-HR"/>
        </w:rPr>
        <w:t xml:space="preserve">modelu modulacijom </w:t>
      </w:r>
      <w:r>
        <w:rPr>
          <w:lang w:val="hr-HR"/>
        </w:rPr>
        <w:t>izražaja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okludina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okludentne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zonule</w:t>
      </w:r>
      <w:proofErr w:type="spellEnd"/>
      <w:r>
        <w:rPr>
          <w:lang w:val="hr-HR"/>
        </w:rPr>
        <w:t xml:space="preserve"> -1 u </w:t>
      </w:r>
      <w:proofErr w:type="spellStart"/>
      <w:r>
        <w:rPr>
          <w:lang w:val="hr-HR"/>
        </w:rPr>
        <w:t>hipoksijskim</w:t>
      </w:r>
      <w:proofErr w:type="spellEnd"/>
      <w:r>
        <w:rPr>
          <w:lang w:val="hr-HR"/>
        </w:rPr>
        <w:t xml:space="preserve"> uvjetima.</w:t>
      </w:r>
    </w:p>
    <w:p w:rsidR="000A1FCE" w:rsidRDefault="000A1FCE">
      <w:pPr>
        <w:pStyle w:val="cmjTEXT"/>
        <w:rPr>
          <w:lang w:val="hr-HR"/>
        </w:rPr>
      </w:pPr>
    </w:p>
    <w:p w:rsidR="000A1FCE" w:rsidRDefault="000A1FCE">
      <w:pPr>
        <w:pStyle w:val="cmjTEXT"/>
        <w:rPr>
          <w:vertAlign w:val="superscript"/>
          <w:lang w:val="hr-HR"/>
        </w:rPr>
      </w:pPr>
    </w:p>
    <w:p w:rsidR="000A1FCE" w:rsidRDefault="000A1FCE">
      <w:pPr>
        <w:pStyle w:val="cmjTEXT"/>
        <w:rPr>
          <w:lang w:val="hr-HR"/>
        </w:rPr>
      </w:pPr>
    </w:p>
    <w:p w:rsidR="000A1FCE" w:rsidRDefault="000A1FCE">
      <w:pPr>
        <w:pStyle w:val="cmjTEXT"/>
        <w:rPr>
          <w:lang w:val="hr-HR"/>
        </w:rPr>
      </w:pPr>
    </w:p>
    <w:p w:rsidR="000A1FCE" w:rsidRDefault="000A1FCE">
      <w:pPr>
        <w:pStyle w:val="Heading2"/>
        <w:spacing w:line="360" w:lineRule="auto"/>
        <w:jc w:val="left"/>
      </w:pPr>
    </w:p>
    <w:sectPr w:rsidR="000A1FCE" w:rsidSect="000A1FCE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35" w:rsidRDefault="00F23D35" w:rsidP="000A1FCE">
      <w:r>
        <w:separator/>
      </w:r>
    </w:p>
  </w:endnote>
  <w:endnote w:type="continuationSeparator" w:id="0">
    <w:p w:rsidR="00F23D35" w:rsidRDefault="00F23D35" w:rsidP="000A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CE" w:rsidRDefault="000A1FCE">
    <w:pPr>
      <w:pStyle w:val="Footer"/>
    </w:pPr>
    <w:r w:rsidRPr="000A1FCE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0A1FCE" w:rsidRDefault="000A1FCE">
                <w:pPr>
                  <w:pStyle w:val="Footer"/>
                </w:pPr>
                <w:r w:rsidRPr="000A1FCE">
                  <w:rPr>
                    <w:rStyle w:val="Brojstranice"/>
                  </w:rPr>
                  <w:fldChar w:fldCharType="begin"/>
                </w:r>
                <w:r w:rsidR="00F23D35">
                  <w:instrText>PAGE</w:instrText>
                </w:r>
                <w:r>
                  <w:fldChar w:fldCharType="separate"/>
                </w:r>
                <w:r w:rsidR="0024427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35" w:rsidRDefault="00F23D35" w:rsidP="000A1FCE">
      <w:r>
        <w:separator/>
      </w:r>
    </w:p>
  </w:footnote>
  <w:footnote w:type="continuationSeparator" w:id="0">
    <w:p w:rsidR="00F23D35" w:rsidRDefault="00F23D35" w:rsidP="000A1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1FCE"/>
    <w:rsid w:val="000A1FCE"/>
    <w:rsid w:val="00244270"/>
    <w:rsid w:val="007B32CD"/>
    <w:rsid w:val="00F2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F0E"/>
    <w:pPr>
      <w:widowControl w:val="0"/>
      <w:jc w:val="both"/>
    </w:pPr>
    <w:rPr>
      <w:rFonts w:eastAsia="SimSun"/>
      <w:sz w:val="21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widowControl/>
      <w:jc w:val="left"/>
      <w:outlineLvl w:val="0"/>
    </w:pPr>
    <w:rPr>
      <w:rFonts w:eastAsia="Times New Roman"/>
      <w:b/>
      <w:bCs/>
      <w:sz w:val="24"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widowControl/>
      <w:outlineLvl w:val="1"/>
    </w:pPr>
    <w:rPr>
      <w:rFonts w:eastAsia="Times New Roman"/>
      <w:b/>
      <w:bCs/>
      <w:sz w:val="24"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widowControl/>
      <w:jc w:val="left"/>
      <w:outlineLvl w:val="2"/>
    </w:pPr>
    <w:rPr>
      <w:rFonts w:eastAsia="Times New Roman"/>
      <w:b/>
      <w:bCs/>
      <w:sz w:val="22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widowControl/>
      <w:spacing w:line="480" w:lineRule="auto"/>
      <w:jc w:val="left"/>
      <w:outlineLvl w:val="3"/>
    </w:pPr>
    <w:rPr>
      <w:rFonts w:ascii="TimesRoman" w:eastAsia="Times New Roman" w:hAnsi="TimesRoman"/>
      <w:b/>
      <w:bCs/>
      <w:sz w:val="24"/>
      <w:lang w:val="tr-TR" w:eastAsia="tr-TR"/>
    </w:rPr>
  </w:style>
  <w:style w:type="character" w:customStyle="1" w:styleId="InternetLink">
    <w:name w:val="Internet Link"/>
    <w:basedOn w:val="Zadanifontodlomka"/>
    <w:semiHidden/>
    <w:rsid w:val="000A1FCE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0A1FCE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0A1FCE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rsid w:val="000A1FC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0A1FCE"/>
    <w:pPr>
      <w:widowControl/>
    </w:pPr>
    <w:rPr>
      <w:rFonts w:eastAsia="Times New Roman"/>
      <w:sz w:val="24"/>
      <w:lang w:val="sl-SI" w:eastAsia="tr-TR"/>
    </w:rPr>
  </w:style>
  <w:style w:type="paragraph" w:styleId="Popis">
    <w:name w:val="List"/>
    <w:basedOn w:val="TextBody"/>
    <w:rsid w:val="000A1FCE"/>
    <w:rPr>
      <w:rFonts w:cs="Lucida Sans"/>
    </w:rPr>
  </w:style>
  <w:style w:type="paragraph" w:customStyle="1" w:styleId="Caption">
    <w:name w:val="Caption"/>
    <w:basedOn w:val="Normal"/>
    <w:qFormat/>
    <w:rsid w:val="000A1FC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rsid w:val="000A1FCE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0A1FCE"/>
    <w:pPr>
      <w:widowControl/>
    </w:pPr>
    <w:rPr>
      <w:rFonts w:eastAsia="Times New Roman"/>
      <w:sz w:val="24"/>
      <w:lang w:val="tr-TR" w:eastAsia="tr-TR"/>
    </w:rPr>
  </w:style>
  <w:style w:type="paragraph" w:styleId="Tijeloteksta3">
    <w:name w:val="Body Text 3"/>
    <w:basedOn w:val="Normal"/>
    <w:semiHidden/>
    <w:qFormat/>
    <w:rsid w:val="000A1FCE"/>
    <w:pPr>
      <w:widowControl/>
    </w:pPr>
    <w:rPr>
      <w:rFonts w:eastAsia="Times New Roman"/>
      <w:sz w:val="24"/>
      <w:lang w:val="tr-TR" w:eastAsia="tr-TR"/>
    </w:rPr>
  </w:style>
  <w:style w:type="paragraph" w:styleId="Blokteksta">
    <w:name w:val="Block Text"/>
    <w:basedOn w:val="Normal"/>
    <w:semiHidden/>
    <w:qFormat/>
    <w:rsid w:val="000A1FCE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widowControl/>
      <w:shd w:val="clear" w:color="auto" w:fill="E6E6E6"/>
      <w:jc w:val="left"/>
    </w:pPr>
    <w:rPr>
      <w:rFonts w:eastAsia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widowControl/>
      <w:tabs>
        <w:tab w:val="center" w:pos="4320"/>
        <w:tab w:val="right" w:pos="8640"/>
      </w:tabs>
      <w:jc w:val="left"/>
    </w:pPr>
    <w:rPr>
      <w:rFonts w:eastAsia="Times New Roman"/>
      <w:sz w:val="24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widowControl/>
      <w:tabs>
        <w:tab w:val="center" w:pos="4320"/>
        <w:tab w:val="right" w:pos="8640"/>
      </w:tabs>
      <w:jc w:val="left"/>
    </w:pPr>
    <w:rPr>
      <w:rFonts w:eastAsia="Times New Roman"/>
      <w:sz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1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1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1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1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1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pPr>
      <w:widowControl/>
      <w:jc w:val="left"/>
    </w:pPr>
    <w:rPr>
      <w:rFonts w:eastAsia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widowControl/>
      <w:spacing w:line="360" w:lineRule="auto"/>
      <w:jc w:val="left"/>
    </w:pPr>
    <w:rPr>
      <w:rFonts w:eastAsia="Times New Roman"/>
      <w:i/>
      <w:color w:val="000000"/>
      <w:sz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widowControl/>
      <w:spacing w:line="360" w:lineRule="auto"/>
      <w:jc w:val="left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0A1F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304</Words>
  <Characters>1734</Characters>
  <Application>Microsoft Office Word</Application>
  <DocSecurity>0</DocSecurity>
  <Lines>14</Lines>
  <Paragraphs>4</Paragraphs>
  <ScaleCrop>false</ScaleCrop>
  <Company>Medicinski fakultet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15</cp:revision>
  <cp:lastPrinted>2007-04-24T14:16:00Z</cp:lastPrinted>
  <dcterms:created xsi:type="dcterms:W3CDTF">2016-03-16T13:31:00Z</dcterms:created>
  <dcterms:modified xsi:type="dcterms:W3CDTF">2016-09-05T09:28:00Z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